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AF3ECE-D48B-4580-8766-D06C8ED5F359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